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DDB0E9" w14:textId="77777777" w:rsidR="0051100D" w:rsidRDefault="00000000">
      <w:pPr>
        <w:spacing w:after="0" w:line="240" w:lineRule="auto"/>
        <w:jc w:val="center"/>
        <w:rPr>
          <w:b/>
        </w:rPr>
      </w:pPr>
      <w:r>
        <w:rPr>
          <w:b/>
        </w:rPr>
        <w:t>OTL545 Technology and Innovation</w:t>
      </w:r>
    </w:p>
    <w:p w14:paraId="22D8AD98" w14:textId="77777777" w:rsidR="0051100D" w:rsidRDefault="00000000">
      <w:pPr>
        <w:spacing w:after="0" w:line="240" w:lineRule="auto"/>
        <w:jc w:val="center"/>
      </w:pPr>
      <w:r>
        <w:t>Module 2: Critical Thinking and Technology</w:t>
      </w:r>
    </w:p>
    <w:p w14:paraId="6D88569D" w14:textId="77777777" w:rsidR="0051100D" w:rsidRDefault="0051100D">
      <w:pPr>
        <w:spacing w:after="0" w:line="240" w:lineRule="auto"/>
        <w:jc w:val="center"/>
      </w:pPr>
    </w:p>
    <w:p w14:paraId="226FC04B" w14:textId="77777777" w:rsidR="0051100D" w:rsidRDefault="0051100D">
      <w:pPr>
        <w:spacing w:after="0" w:line="240" w:lineRule="auto"/>
        <w:jc w:val="center"/>
        <w:rPr>
          <w:b/>
          <w:sz w:val="28"/>
          <w:szCs w:val="28"/>
        </w:rPr>
      </w:pPr>
    </w:p>
    <w:p w14:paraId="3430CF72" w14:textId="77777777" w:rsidR="0051100D" w:rsidRDefault="00000000">
      <w:pPr>
        <w:spacing w:after="0" w:line="240" w:lineRule="auto"/>
        <w:jc w:val="center"/>
        <w:rPr>
          <w:b/>
          <w:sz w:val="28"/>
          <w:szCs w:val="28"/>
        </w:rPr>
      </w:pPr>
      <w:r>
        <w:rPr>
          <w:b/>
          <w:sz w:val="28"/>
          <w:szCs w:val="28"/>
        </w:rPr>
        <w:t>Critical Thinking Lesson Plan</w:t>
      </w:r>
    </w:p>
    <w:p w14:paraId="01E4AA5A" w14:textId="77777777" w:rsidR="0051100D" w:rsidRDefault="0051100D">
      <w:pPr>
        <w:spacing w:after="0" w:line="240" w:lineRule="auto"/>
      </w:pPr>
    </w:p>
    <w:p w14:paraId="3C67F206" w14:textId="77777777" w:rsidR="0051100D" w:rsidRDefault="00000000">
      <w:pPr>
        <w:spacing w:after="0" w:line="240" w:lineRule="auto"/>
        <w:jc w:val="center"/>
        <w:rPr>
          <w:b/>
        </w:rPr>
      </w:pPr>
      <w:r>
        <w:rPr>
          <w:b/>
        </w:rPr>
        <w:t>Lesson Information</w:t>
      </w:r>
    </w:p>
    <w:p w14:paraId="7ABC93EA" w14:textId="77777777" w:rsidR="0051100D" w:rsidRDefault="0051100D">
      <w:pPr>
        <w:spacing w:after="0" w:line="240" w:lineRule="auto"/>
        <w:jc w:val="center"/>
        <w:rPr>
          <w:b/>
        </w:rPr>
      </w:pPr>
    </w:p>
    <w:tbl>
      <w:tblPr>
        <w:tblStyle w:val="a3"/>
        <w:tblW w:w="108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430"/>
        <w:gridCol w:w="8370"/>
      </w:tblGrid>
      <w:tr w:rsidR="0051100D" w14:paraId="70500650" w14:textId="77777777">
        <w:tc>
          <w:tcPr>
            <w:tcW w:w="2430" w:type="dxa"/>
            <w:shd w:val="clear" w:color="auto" w:fill="990033"/>
            <w:tcMar>
              <w:top w:w="100" w:type="dxa"/>
              <w:left w:w="100" w:type="dxa"/>
              <w:bottom w:w="100" w:type="dxa"/>
              <w:right w:w="100" w:type="dxa"/>
            </w:tcMar>
            <w:vAlign w:val="center"/>
          </w:tcPr>
          <w:p w14:paraId="2F8370A5" w14:textId="77777777" w:rsidR="0051100D" w:rsidRDefault="00000000">
            <w:pPr>
              <w:widowControl w:val="0"/>
              <w:pBdr>
                <w:top w:val="nil"/>
                <w:left w:val="nil"/>
                <w:bottom w:val="nil"/>
                <w:right w:val="nil"/>
                <w:between w:val="nil"/>
              </w:pBdr>
              <w:spacing w:after="0" w:line="240" w:lineRule="auto"/>
              <w:rPr>
                <w:b/>
                <w:color w:val="FFFFFF"/>
              </w:rPr>
            </w:pPr>
            <w:r>
              <w:rPr>
                <w:b/>
                <w:color w:val="FFFFFF"/>
              </w:rPr>
              <w:t>Lesson Title</w:t>
            </w:r>
          </w:p>
        </w:tc>
        <w:tc>
          <w:tcPr>
            <w:tcW w:w="8370" w:type="dxa"/>
            <w:shd w:val="clear" w:color="auto" w:fill="EFEFEF"/>
            <w:tcMar>
              <w:top w:w="100" w:type="dxa"/>
              <w:left w:w="100" w:type="dxa"/>
              <w:bottom w:w="100" w:type="dxa"/>
              <w:right w:w="100" w:type="dxa"/>
            </w:tcMar>
          </w:tcPr>
          <w:p w14:paraId="60852E59" w14:textId="2767EE09" w:rsidR="0051100D" w:rsidRDefault="00447A58">
            <w:pPr>
              <w:widowControl w:val="0"/>
              <w:pBdr>
                <w:top w:val="nil"/>
                <w:left w:val="nil"/>
                <w:bottom w:val="nil"/>
                <w:right w:val="nil"/>
                <w:between w:val="nil"/>
              </w:pBdr>
              <w:spacing w:after="0" w:line="240" w:lineRule="auto"/>
            </w:pPr>
            <w:r w:rsidRPr="00447A58">
              <w:t>The Arrival of the Spanish in Central America and the Fall of the Aztec Empire</w:t>
            </w:r>
          </w:p>
        </w:tc>
      </w:tr>
      <w:tr w:rsidR="0051100D" w14:paraId="40B86151" w14:textId="77777777">
        <w:tc>
          <w:tcPr>
            <w:tcW w:w="2430" w:type="dxa"/>
            <w:shd w:val="clear" w:color="auto" w:fill="990033"/>
            <w:tcMar>
              <w:top w:w="100" w:type="dxa"/>
              <w:left w:w="100" w:type="dxa"/>
              <w:bottom w:w="100" w:type="dxa"/>
              <w:right w:w="100" w:type="dxa"/>
            </w:tcMar>
            <w:vAlign w:val="center"/>
          </w:tcPr>
          <w:p w14:paraId="490F202D" w14:textId="77777777" w:rsidR="0051100D" w:rsidRDefault="00000000">
            <w:pPr>
              <w:widowControl w:val="0"/>
              <w:pBdr>
                <w:top w:val="nil"/>
                <w:left w:val="nil"/>
                <w:bottom w:val="nil"/>
                <w:right w:val="nil"/>
                <w:between w:val="nil"/>
              </w:pBdr>
              <w:spacing w:after="0" w:line="240" w:lineRule="auto"/>
              <w:rPr>
                <w:b/>
                <w:color w:val="FFFFFF"/>
              </w:rPr>
            </w:pPr>
            <w:r>
              <w:rPr>
                <w:b/>
                <w:color w:val="FFFFFF"/>
              </w:rPr>
              <w:t>Grade/Subject Area</w:t>
            </w:r>
          </w:p>
        </w:tc>
        <w:tc>
          <w:tcPr>
            <w:tcW w:w="8370" w:type="dxa"/>
            <w:shd w:val="clear" w:color="auto" w:fill="EFEFEF"/>
            <w:tcMar>
              <w:top w:w="100" w:type="dxa"/>
              <w:left w:w="100" w:type="dxa"/>
              <w:bottom w:w="100" w:type="dxa"/>
              <w:right w:w="100" w:type="dxa"/>
            </w:tcMar>
          </w:tcPr>
          <w:p w14:paraId="64523497" w14:textId="1AD0E84A" w:rsidR="0051100D" w:rsidRDefault="00447A58">
            <w:pPr>
              <w:widowControl w:val="0"/>
              <w:pBdr>
                <w:top w:val="nil"/>
                <w:left w:val="nil"/>
                <w:bottom w:val="nil"/>
                <w:right w:val="nil"/>
                <w:between w:val="nil"/>
              </w:pBdr>
              <w:spacing w:after="0" w:line="240" w:lineRule="auto"/>
            </w:pPr>
            <w:r>
              <w:t>6</w:t>
            </w:r>
            <w:r w:rsidRPr="00447A58">
              <w:rPr>
                <w:vertAlign w:val="superscript"/>
              </w:rPr>
              <w:t>th</w:t>
            </w:r>
            <w:r>
              <w:t xml:space="preserve"> Social Science </w:t>
            </w:r>
          </w:p>
        </w:tc>
      </w:tr>
      <w:tr w:rsidR="0051100D" w14:paraId="7BE71C2C" w14:textId="77777777">
        <w:tc>
          <w:tcPr>
            <w:tcW w:w="2430" w:type="dxa"/>
            <w:shd w:val="clear" w:color="auto" w:fill="990033"/>
            <w:tcMar>
              <w:top w:w="100" w:type="dxa"/>
              <w:left w:w="100" w:type="dxa"/>
              <w:bottom w:w="100" w:type="dxa"/>
              <w:right w:w="100" w:type="dxa"/>
            </w:tcMar>
            <w:vAlign w:val="center"/>
          </w:tcPr>
          <w:p w14:paraId="7C7A3FCE" w14:textId="77777777" w:rsidR="0051100D" w:rsidRDefault="00000000">
            <w:pPr>
              <w:widowControl w:val="0"/>
              <w:pBdr>
                <w:top w:val="nil"/>
                <w:left w:val="nil"/>
                <w:bottom w:val="nil"/>
                <w:right w:val="nil"/>
                <w:between w:val="nil"/>
              </w:pBdr>
              <w:spacing w:after="0" w:line="240" w:lineRule="auto"/>
              <w:rPr>
                <w:b/>
                <w:color w:val="FFFFFF"/>
              </w:rPr>
            </w:pPr>
            <w:r>
              <w:rPr>
                <w:b/>
                <w:color w:val="FFFFFF"/>
              </w:rPr>
              <w:t>Measurable Learning Objective(s)</w:t>
            </w:r>
          </w:p>
        </w:tc>
        <w:tc>
          <w:tcPr>
            <w:tcW w:w="8370" w:type="dxa"/>
            <w:shd w:val="clear" w:color="auto" w:fill="EFEFEF"/>
            <w:tcMar>
              <w:top w:w="100" w:type="dxa"/>
              <w:left w:w="100" w:type="dxa"/>
              <w:bottom w:w="100" w:type="dxa"/>
              <w:right w:w="100" w:type="dxa"/>
            </w:tcMar>
          </w:tcPr>
          <w:p w14:paraId="78EECACD" w14:textId="624F1210" w:rsidR="0051100D" w:rsidRDefault="00E511AD">
            <w:pPr>
              <w:widowControl w:val="0"/>
              <w:numPr>
                <w:ilvl w:val="0"/>
                <w:numId w:val="3"/>
              </w:numPr>
              <w:pBdr>
                <w:top w:val="nil"/>
                <w:left w:val="nil"/>
                <w:bottom w:val="nil"/>
                <w:right w:val="nil"/>
                <w:between w:val="nil"/>
              </w:pBdr>
              <w:spacing w:after="0" w:line="240" w:lineRule="auto"/>
            </w:pPr>
            <w:r w:rsidRPr="00E511AD">
              <w:t>Students will analyze at least two causes that contributed to the Spanish conquest of the Aztec Empire and explain, in a short digital response, how different perspectives and historical factors shaped the downfall of the Aztecs. Students will cite evidence from maps, images, and brief source excerpts to support one historical claim.</w:t>
            </w:r>
          </w:p>
        </w:tc>
      </w:tr>
      <w:tr w:rsidR="0051100D" w14:paraId="175E76E0" w14:textId="77777777">
        <w:tc>
          <w:tcPr>
            <w:tcW w:w="2430" w:type="dxa"/>
            <w:shd w:val="clear" w:color="auto" w:fill="990033"/>
            <w:tcMar>
              <w:top w:w="100" w:type="dxa"/>
              <w:left w:w="100" w:type="dxa"/>
              <w:bottom w:w="100" w:type="dxa"/>
              <w:right w:w="100" w:type="dxa"/>
            </w:tcMar>
            <w:vAlign w:val="center"/>
          </w:tcPr>
          <w:p w14:paraId="6C30AE01" w14:textId="77777777" w:rsidR="0051100D" w:rsidRDefault="00000000">
            <w:pPr>
              <w:widowControl w:val="0"/>
              <w:pBdr>
                <w:top w:val="nil"/>
                <w:left w:val="nil"/>
                <w:bottom w:val="nil"/>
                <w:right w:val="nil"/>
                <w:between w:val="nil"/>
              </w:pBdr>
              <w:spacing w:after="0" w:line="240" w:lineRule="auto"/>
              <w:rPr>
                <w:b/>
                <w:color w:val="FFFFFF"/>
              </w:rPr>
            </w:pPr>
            <w:r>
              <w:rPr>
                <w:b/>
                <w:color w:val="FFFFFF"/>
              </w:rPr>
              <w:t>Curriculum Standard or Course Learning Objective</w:t>
            </w:r>
          </w:p>
        </w:tc>
        <w:tc>
          <w:tcPr>
            <w:tcW w:w="8370" w:type="dxa"/>
            <w:shd w:val="clear" w:color="auto" w:fill="EFEFEF"/>
            <w:tcMar>
              <w:top w:w="100" w:type="dxa"/>
              <w:left w:w="100" w:type="dxa"/>
              <w:bottom w:w="100" w:type="dxa"/>
              <w:right w:w="100" w:type="dxa"/>
            </w:tcMar>
          </w:tcPr>
          <w:p w14:paraId="22905D78" w14:textId="2B16CBCD" w:rsidR="0051100D" w:rsidRDefault="00E511AD">
            <w:pPr>
              <w:widowControl w:val="0"/>
              <w:numPr>
                <w:ilvl w:val="0"/>
                <w:numId w:val="1"/>
              </w:numPr>
              <w:pBdr>
                <w:top w:val="nil"/>
                <w:left w:val="nil"/>
                <w:bottom w:val="nil"/>
                <w:right w:val="nil"/>
                <w:between w:val="nil"/>
              </w:pBdr>
              <w:spacing w:after="0" w:line="240" w:lineRule="auto"/>
            </w:pPr>
            <w:r w:rsidRPr="00E511AD">
              <w:t>This lesson aligns with </w:t>
            </w:r>
            <w:r w:rsidRPr="00E511AD">
              <w:rPr>
                <w:b/>
                <w:bCs/>
              </w:rPr>
              <w:t>Colorado Academic Standards, Social Studies, Standard 1: History</w:t>
            </w:r>
            <w:r w:rsidRPr="00E511AD">
              <w:t>, which emphasizes inquiry, analysis, interpretation, and communication about the past. The standard highlights that history helps students explain the human experience through past events and develop skills in analyzing, interpreting, evaluating, and communicating historical understanding.</w:t>
            </w:r>
          </w:p>
        </w:tc>
      </w:tr>
    </w:tbl>
    <w:p w14:paraId="1E031E48" w14:textId="77777777" w:rsidR="0051100D" w:rsidRDefault="0051100D">
      <w:pPr>
        <w:spacing w:after="0" w:line="240" w:lineRule="auto"/>
      </w:pPr>
    </w:p>
    <w:p w14:paraId="78AD7EC1" w14:textId="77777777" w:rsidR="0051100D" w:rsidRDefault="0051100D">
      <w:pPr>
        <w:spacing w:after="0" w:line="240" w:lineRule="auto"/>
        <w:jc w:val="center"/>
        <w:rPr>
          <w:b/>
        </w:rPr>
      </w:pPr>
    </w:p>
    <w:p w14:paraId="32E4A0B5" w14:textId="77777777" w:rsidR="0051100D" w:rsidRDefault="00000000">
      <w:pPr>
        <w:spacing w:after="0" w:line="240" w:lineRule="auto"/>
        <w:jc w:val="center"/>
        <w:rPr>
          <w:b/>
        </w:rPr>
      </w:pPr>
      <w:r>
        <w:rPr>
          <w:b/>
        </w:rPr>
        <w:t>Technology and Critical Thinking</w:t>
      </w:r>
    </w:p>
    <w:p w14:paraId="07F61D7E" w14:textId="77777777" w:rsidR="0051100D" w:rsidRDefault="0051100D">
      <w:pPr>
        <w:spacing w:after="0" w:line="240" w:lineRule="auto"/>
        <w:jc w:val="center"/>
        <w:rPr>
          <w:b/>
        </w:rPr>
      </w:pPr>
    </w:p>
    <w:tbl>
      <w:tblPr>
        <w:tblStyle w:val="a4"/>
        <w:tblW w:w="108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430"/>
        <w:gridCol w:w="8370"/>
      </w:tblGrid>
      <w:tr w:rsidR="0051100D" w14:paraId="25C2C61D" w14:textId="77777777">
        <w:trPr>
          <w:trHeight w:val="420"/>
        </w:trPr>
        <w:tc>
          <w:tcPr>
            <w:tcW w:w="2430" w:type="dxa"/>
            <w:vMerge w:val="restart"/>
            <w:shd w:val="clear" w:color="auto" w:fill="990033"/>
            <w:tcMar>
              <w:top w:w="100" w:type="dxa"/>
              <w:left w:w="100" w:type="dxa"/>
              <w:bottom w:w="100" w:type="dxa"/>
              <w:right w:w="100" w:type="dxa"/>
            </w:tcMar>
            <w:vAlign w:val="center"/>
          </w:tcPr>
          <w:p w14:paraId="07D6272B" w14:textId="77777777" w:rsidR="0051100D" w:rsidRDefault="00000000">
            <w:pPr>
              <w:widowControl w:val="0"/>
              <w:spacing w:after="0" w:line="240" w:lineRule="auto"/>
              <w:rPr>
                <w:b/>
                <w:color w:val="FFFFFF"/>
              </w:rPr>
            </w:pPr>
            <w:r>
              <w:rPr>
                <w:b/>
                <w:color w:val="FFFFFF"/>
              </w:rPr>
              <w:t>Technology</w:t>
            </w:r>
          </w:p>
        </w:tc>
        <w:tc>
          <w:tcPr>
            <w:tcW w:w="8370" w:type="dxa"/>
            <w:shd w:val="clear" w:color="auto" w:fill="EFEFEF"/>
            <w:tcMar>
              <w:top w:w="100" w:type="dxa"/>
              <w:left w:w="100" w:type="dxa"/>
              <w:bottom w:w="100" w:type="dxa"/>
              <w:right w:w="100" w:type="dxa"/>
            </w:tcMar>
          </w:tcPr>
          <w:p w14:paraId="3DA95F88" w14:textId="6D3397EC" w:rsidR="0051100D" w:rsidRDefault="00E511AD">
            <w:pPr>
              <w:widowControl w:val="0"/>
              <w:numPr>
                <w:ilvl w:val="0"/>
                <w:numId w:val="4"/>
              </w:numPr>
              <w:spacing w:after="0" w:line="240" w:lineRule="auto"/>
            </w:pPr>
            <w:r w:rsidRPr="00E511AD">
              <w:t xml:space="preserve">Students will use Google Slides or Nearpod to examine a map of Central America, short source excerpts, and visual evidence related to Hernán Cortés, Tenochtitlan, alliances with Indigenous groups, disease, and conflict. </w:t>
            </w:r>
          </w:p>
        </w:tc>
      </w:tr>
      <w:tr w:rsidR="0051100D" w14:paraId="53D6101F" w14:textId="77777777">
        <w:trPr>
          <w:trHeight w:val="420"/>
        </w:trPr>
        <w:tc>
          <w:tcPr>
            <w:tcW w:w="2430" w:type="dxa"/>
            <w:vMerge/>
            <w:shd w:val="clear" w:color="auto" w:fill="990033"/>
            <w:tcMar>
              <w:top w:w="100" w:type="dxa"/>
              <w:left w:w="100" w:type="dxa"/>
              <w:bottom w:w="100" w:type="dxa"/>
              <w:right w:w="100" w:type="dxa"/>
            </w:tcMar>
            <w:vAlign w:val="center"/>
          </w:tcPr>
          <w:p w14:paraId="3C371AFB" w14:textId="77777777" w:rsidR="0051100D" w:rsidRDefault="0051100D">
            <w:pPr>
              <w:widowControl w:val="0"/>
              <w:spacing w:after="0" w:line="240" w:lineRule="auto"/>
              <w:rPr>
                <w:b/>
                <w:color w:val="FFFFFF"/>
              </w:rPr>
            </w:pPr>
          </w:p>
        </w:tc>
        <w:tc>
          <w:tcPr>
            <w:tcW w:w="8370" w:type="dxa"/>
            <w:shd w:val="clear" w:color="auto" w:fill="EFEFEF"/>
            <w:tcMar>
              <w:top w:w="100" w:type="dxa"/>
              <w:left w:w="100" w:type="dxa"/>
              <w:bottom w:w="100" w:type="dxa"/>
              <w:right w:w="100" w:type="dxa"/>
            </w:tcMar>
          </w:tcPr>
          <w:p w14:paraId="2912DDDC" w14:textId="26734D90" w:rsidR="0051100D" w:rsidRDefault="00E511AD">
            <w:pPr>
              <w:widowControl w:val="0"/>
              <w:numPr>
                <w:ilvl w:val="0"/>
                <w:numId w:val="2"/>
              </w:numPr>
              <w:spacing w:after="0" w:line="240" w:lineRule="auto"/>
            </w:pPr>
            <w:r w:rsidRPr="00E511AD">
              <w:t>Technology supports critical thinking by allowing students to compare sources, annotate evidence, and respond to a prompt that asks them to determine which factor most contributed to the Aztec downfall. This use of technology moves students beyond recall and into analysis, inference, and evidence-based reasoning. Critical thinking in education involves examining information carefully, evaluating claims, and making reasoned judgments, which fits the structure of this lesson (Vejar, 2023).</w:t>
            </w:r>
          </w:p>
        </w:tc>
      </w:tr>
      <w:tr w:rsidR="0051100D" w14:paraId="1CA89C9E" w14:textId="77777777">
        <w:tc>
          <w:tcPr>
            <w:tcW w:w="2430" w:type="dxa"/>
            <w:shd w:val="clear" w:color="auto" w:fill="990033"/>
            <w:tcMar>
              <w:top w:w="100" w:type="dxa"/>
              <w:left w:w="100" w:type="dxa"/>
              <w:bottom w:w="100" w:type="dxa"/>
              <w:right w:w="100" w:type="dxa"/>
            </w:tcMar>
            <w:vAlign w:val="center"/>
          </w:tcPr>
          <w:p w14:paraId="56354EE0" w14:textId="77777777" w:rsidR="0051100D" w:rsidRDefault="00000000">
            <w:pPr>
              <w:widowControl w:val="0"/>
              <w:spacing w:after="0" w:line="240" w:lineRule="auto"/>
              <w:rPr>
                <w:b/>
                <w:color w:val="FFFFFF"/>
              </w:rPr>
            </w:pPr>
            <w:r>
              <w:rPr>
                <w:b/>
                <w:color w:val="FFFFFF"/>
              </w:rPr>
              <w:t>Higher-Order Thinking</w:t>
            </w:r>
          </w:p>
        </w:tc>
        <w:tc>
          <w:tcPr>
            <w:tcW w:w="8370" w:type="dxa"/>
            <w:shd w:val="clear" w:color="auto" w:fill="EFEFEF"/>
            <w:tcMar>
              <w:top w:w="100" w:type="dxa"/>
              <w:left w:w="100" w:type="dxa"/>
              <w:bottom w:w="100" w:type="dxa"/>
              <w:right w:w="100" w:type="dxa"/>
            </w:tcMar>
          </w:tcPr>
          <w:p w14:paraId="561FCA81" w14:textId="68DDA62D" w:rsidR="0051100D" w:rsidRDefault="00E511AD">
            <w:pPr>
              <w:widowControl w:val="0"/>
              <w:numPr>
                <w:ilvl w:val="0"/>
                <w:numId w:val="3"/>
              </w:numPr>
              <w:spacing w:after="0" w:line="240" w:lineRule="auto"/>
            </w:pPr>
            <w:r w:rsidRPr="00E511AD">
              <w:t>The lesson requires students to analyze causes, evaluate competing explanations, make inferences from sources, and justify a claim with evidence. Students will compare perspectives, identify cause-and-effect relationships, and communicate a reasoned conclusion. These tasks reflect higher-order thinking because students are not simply identifying facts; they are interpreting historical events and defending their thinking (Laskowski, 2023; Silver et al., 2022; Vejar, 2023).</w:t>
            </w:r>
          </w:p>
        </w:tc>
      </w:tr>
    </w:tbl>
    <w:p w14:paraId="0B8D2681" w14:textId="77777777" w:rsidR="0051100D" w:rsidRDefault="0051100D">
      <w:pPr>
        <w:spacing w:after="0" w:line="240" w:lineRule="auto"/>
      </w:pPr>
    </w:p>
    <w:p w14:paraId="410AD2D1" w14:textId="77777777" w:rsidR="0051100D" w:rsidRDefault="0051100D">
      <w:pPr>
        <w:spacing w:after="0" w:line="240" w:lineRule="auto"/>
      </w:pPr>
    </w:p>
    <w:p w14:paraId="57467F5B" w14:textId="29432079" w:rsidR="0051100D" w:rsidRDefault="00000000">
      <w:pPr>
        <w:spacing w:after="0" w:line="240" w:lineRule="auto"/>
        <w:jc w:val="center"/>
        <w:rPr>
          <w:b/>
        </w:rPr>
      </w:pPr>
      <w:r>
        <w:rPr>
          <w:b/>
        </w:rPr>
        <w:t>Lesson Structure (40 minutes)</w:t>
      </w:r>
    </w:p>
    <w:p w14:paraId="4690A152" w14:textId="77777777" w:rsidR="0051100D" w:rsidRDefault="0051100D">
      <w:pPr>
        <w:spacing w:after="0" w:line="240" w:lineRule="auto"/>
        <w:rPr>
          <w:b/>
        </w:rPr>
      </w:pPr>
    </w:p>
    <w:tbl>
      <w:tblPr>
        <w:tblStyle w:val="a5"/>
        <w:tblW w:w="10800"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715"/>
        <w:gridCol w:w="1755"/>
        <w:gridCol w:w="6330"/>
      </w:tblGrid>
      <w:tr w:rsidR="0051100D" w14:paraId="5A9ABC07" w14:textId="77777777">
        <w:trPr>
          <w:jc w:val="center"/>
        </w:trPr>
        <w:tc>
          <w:tcPr>
            <w:tcW w:w="2715" w:type="dxa"/>
            <w:shd w:val="clear" w:color="auto" w:fill="990033"/>
            <w:tcMar>
              <w:top w:w="100" w:type="dxa"/>
              <w:left w:w="100" w:type="dxa"/>
              <w:bottom w:w="100" w:type="dxa"/>
              <w:right w:w="100" w:type="dxa"/>
            </w:tcMar>
            <w:vAlign w:val="center"/>
          </w:tcPr>
          <w:p w14:paraId="3589A9C5" w14:textId="77777777" w:rsidR="0051100D" w:rsidRDefault="00000000">
            <w:pPr>
              <w:widowControl w:val="0"/>
              <w:pBdr>
                <w:top w:val="nil"/>
                <w:left w:val="nil"/>
                <w:bottom w:val="nil"/>
                <w:right w:val="nil"/>
                <w:between w:val="nil"/>
              </w:pBdr>
              <w:spacing w:after="0" w:line="240" w:lineRule="auto"/>
              <w:jc w:val="center"/>
              <w:rPr>
                <w:b/>
                <w:color w:val="FFFFFF"/>
              </w:rPr>
            </w:pPr>
            <w:r>
              <w:rPr>
                <w:b/>
                <w:color w:val="FFFFFF"/>
              </w:rPr>
              <w:t xml:space="preserve">Key Activities </w:t>
            </w:r>
          </w:p>
          <w:p w14:paraId="7D42C261" w14:textId="6042A2CE" w:rsidR="0051100D" w:rsidRDefault="0051100D">
            <w:pPr>
              <w:widowControl w:val="0"/>
              <w:pBdr>
                <w:top w:val="nil"/>
                <w:left w:val="nil"/>
                <w:bottom w:val="nil"/>
                <w:right w:val="nil"/>
                <w:between w:val="nil"/>
              </w:pBdr>
              <w:spacing w:after="0" w:line="240" w:lineRule="auto"/>
              <w:jc w:val="center"/>
              <w:rPr>
                <w:b/>
                <w:color w:val="FFFFFF"/>
                <w:sz w:val="18"/>
                <w:szCs w:val="18"/>
              </w:rPr>
            </w:pPr>
          </w:p>
        </w:tc>
        <w:tc>
          <w:tcPr>
            <w:tcW w:w="1755" w:type="dxa"/>
            <w:shd w:val="clear" w:color="auto" w:fill="990033"/>
            <w:tcMar>
              <w:top w:w="100" w:type="dxa"/>
              <w:left w:w="100" w:type="dxa"/>
              <w:bottom w:w="100" w:type="dxa"/>
              <w:right w:w="100" w:type="dxa"/>
            </w:tcMar>
            <w:vAlign w:val="center"/>
          </w:tcPr>
          <w:p w14:paraId="0527FEF3" w14:textId="77777777" w:rsidR="0051100D" w:rsidRDefault="00000000">
            <w:pPr>
              <w:widowControl w:val="0"/>
              <w:pBdr>
                <w:top w:val="nil"/>
                <w:left w:val="nil"/>
                <w:bottom w:val="nil"/>
                <w:right w:val="nil"/>
                <w:between w:val="nil"/>
              </w:pBdr>
              <w:spacing w:after="0" w:line="240" w:lineRule="auto"/>
              <w:jc w:val="center"/>
              <w:rPr>
                <w:b/>
                <w:color w:val="FFFFFF"/>
              </w:rPr>
            </w:pPr>
            <w:r>
              <w:rPr>
                <w:b/>
                <w:color w:val="FFFFFF"/>
              </w:rPr>
              <w:t>Time Allocation (minutes)</w:t>
            </w:r>
          </w:p>
        </w:tc>
        <w:tc>
          <w:tcPr>
            <w:tcW w:w="6330" w:type="dxa"/>
            <w:shd w:val="clear" w:color="auto" w:fill="990033"/>
            <w:tcMar>
              <w:top w:w="100" w:type="dxa"/>
              <w:left w:w="100" w:type="dxa"/>
              <w:bottom w:w="100" w:type="dxa"/>
              <w:right w:w="100" w:type="dxa"/>
            </w:tcMar>
            <w:vAlign w:val="center"/>
          </w:tcPr>
          <w:p w14:paraId="6A6C5F8E" w14:textId="77777777" w:rsidR="0051100D" w:rsidRDefault="00000000">
            <w:pPr>
              <w:widowControl w:val="0"/>
              <w:pBdr>
                <w:top w:val="nil"/>
                <w:left w:val="nil"/>
                <w:bottom w:val="nil"/>
                <w:right w:val="nil"/>
                <w:between w:val="nil"/>
              </w:pBdr>
              <w:spacing w:after="0" w:line="240" w:lineRule="auto"/>
              <w:jc w:val="center"/>
              <w:rPr>
                <w:b/>
                <w:color w:val="FFFFFF"/>
              </w:rPr>
            </w:pPr>
            <w:r>
              <w:rPr>
                <w:b/>
                <w:color w:val="FFFFFF"/>
              </w:rPr>
              <w:t>Description</w:t>
            </w:r>
          </w:p>
        </w:tc>
      </w:tr>
      <w:tr w:rsidR="0051100D" w14:paraId="2982512F" w14:textId="77777777" w:rsidTr="00715EF9">
        <w:trPr>
          <w:jc w:val="center"/>
        </w:trPr>
        <w:tc>
          <w:tcPr>
            <w:tcW w:w="2715" w:type="dxa"/>
            <w:shd w:val="clear" w:color="auto" w:fill="E7E6E6" w:themeFill="background2"/>
            <w:tcMar>
              <w:top w:w="100" w:type="dxa"/>
              <w:left w:w="100" w:type="dxa"/>
              <w:bottom w:w="100" w:type="dxa"/>
              <w:right w:w="100" w:type="dxa"/>
            </w:tcMar>
          </w:tcPr>
          <w:p w14:paraId="239B6B04" w14:textId="19B3B624" w:rsidR="0051100D" w:rsidRPr="00715EF9" w:rsidRDefault="007D5A15" w:rsidP="00715EF9">
            <w:r w:rsidRPr="00715EF9">
              <w:t>Introduction</w:t>
            </w:r>
          </w:p>
        </w:tc>
        <w:tc>
          <w:tcPr>
            <w:tcW w:w="1755" w:type="dxa"/>
            <w:shd w:val="clear" w:color="auto" w:fill="E7E6E6" w:themeFill="background2"/>
            <w:tcMar>
              <w:top w:w="100" w:type="dxa"/>
              <w:left w:w="100" w:type="dxa"/>
              <w:bottom w:w="100" w:type="dxa"/>
              <w:right w:w="100" w:type="dxa"/>
            </w:tcMar>
          </w:tcPr>
          <w:p w14:paraId="74C567EB" w14:textId="6E62873D" w:rsidR="0051100D" w:rsidRPr="007D5A15" w:rsidRDefault="007D5A15">
            <w:pPr>
              <w:widowControl w:val="0"/>
              <w:spacing w:after="0" w:line="240" w:lineRule="auto"/>
              <w:rPr>
                <w:b/>
                <w:bCs/>
                <w:iCs/>
              </w:rPr>
            </w:pPr>
            <w:r>
              <w:rPr>
                <w:b/>
                <w:bCs/>
                <w:iCs/>
              </w:rPr>
              <w:t xml:space="preserve">5 min. </w:t>
            </w:r>
          </w:p>
        </w:tc>
        <w:tc>
          <w:tcPr>
            <w:tcW w:w="6330" w:type="dxa"/>
            <w:shd w:val="clear" w:color="auto" w:fill="E7E6E6" w:themeFill="background2"/>
            <w:tcMar>
              <w:top w:w="100" w:type="dxa"/>
              <w:left w:w="100" w:type="dxa"/>
              <w:bottom w:w="100" w:type="dxa"/>
              <w:right w:w="100" w:type="dxa"/>
            </w:tcMar>
          </w:tcPr>
          <w:p w14:paraId="0929F400" w14:textId="04C0AC76" w:rsidR="0051100D" w:rsidRPr="007D5A15" w:rsidRDefault="007D5A15">
            <w:pPr>
              <w:widowControl w:val="0"/>
              <w:numPr>
                <w:ilvl w:val="0"/>
                <w:numId w:val="5"/>
              </w:numPr>
              <w:spacing w:after="0" w:line="240" w:lineRule="auto"/>
              <w:rPr>
                <w:iCs/>
              </w:rPr>
            </w:pPr>
            <w:r w:rsidRPr="007D5A15">
              <w:rPr>
                <w:iCs/>
              </w:rPr>
              <w:t>Display the question: “Why do powerful civilizations sometimes fall?” Students complete a quick warm-up in Pear Deck or on a Google Form. Briefly connect responses to historical inquiry and explain that today’s lesson will examine the arrival of the Spanish in Central America and the fall of the Aztec Empire.</w:t>
            </w:r>
          </w:p>
        </w:tc>
      </w:tr>
      <w:tr w:rsidR="0051100D" w14:paraId="6469244D" w14:textId="77777777">
        <w:trPr>
          <w:jc w:val="center"/>
        </w:trPr>
        <w:tc>
          <w:tcPr>
            <w:tcW w:w="2715" w:type="dxa"/>
            <w:shd w:val="clear" w:color="auto" w:fill="EFEFEF"/>
            <w:tcMar>
              <w:top w:w="100" w:type="dxa"/>
              <w:left w:w="100" w:type="dxa"/>
              <w:bottom w:w="100" w:type="dxa"/>
              <w:right w:w="100" w:type="dxa"/>
            </w:tcMar>
          </w:tcPr>
          <w:p w14:paraId="07713FDC" w14:textId="42F30DAD" w:rsidR="0051100D" w:rsidRDefault="007D5A15">
            <w:pPr>
              <w:widowControl w:val="0"/>
              <w:pBdr>
                <w:top w:val="nil"/>
                <w:left w:val="nil"/>
                <w:bottom w:val="nil"/>
                <w:right w:val="nil"/>
                <w:between w:val="nil"/>
              </w:pBdr>
              <w:spacing w:after="0" w:line="240" w:lineRule="auto"/>
              <w:rPr>
                <w:b/>
              </w:rPr>
            </w:pPr>
            <w:r>
              <w:t>Source Exploration</w:t>
            </w:r>
          </w:p>
        </w:tc>
        <w:tc>
          <w:tcPr>
            <w:tcW w:w="1755" w:type="dxa"/>
            <w:shd w:val="clear" w:color="auto" w:fill="EFEFEF"/>
            <w:tcMar>
              <w:top w:w="100" w:type="dxa"/>
              <w:left w:w="100" w:type="dxa"/>
              <w:bottom w:w="100" w:type="dxa"/>
              <w:right w:w="100" w:type="dxa"/>
            </w:tcMar>
          </w:tcPr>
          <w:p w14:paraId="1EAB8ED9" w14:textId="00ED091D" w:rsidR="0051100D" w:rsidRDefault="007D5A15">
            <w:pPr>
              <w:widowControl w:val="0"/>
              <w:pBdr>
                <w:top w:val="nil"/>
                <w:left w:val="nil"/>
                <w:bottom w:val="nil"/>
                <w:right w:val="nil"/>
                <w:between w:val="nil"/>
              </w:pBdr>
              <w:spacing w:after="0" w:line="240" w:lineRule="auto"/>
              <w:rPr>
                <w:b/>
              </w:rPr>
            </w:pPr>
            <w:r>
              <w:rPr>
                <w:b/>
              </w:rPr>
              <w:t>10 min.</w:t>
            </w:r>
          </w:p>
        </w:tc>
        <w:tc>
          <w:tcPr>
            <w:tcW w:w="6330" w:type="dxa"/>
            <w:shd w:val="clear" w:color="auto" w:fill="EFEFEF"/>
            <w:tcMar>
              <w:top w:w="100" w:type="dxa"/>
              <w:left w:w="100" w:type="dxa"/>
              <w:bottom w:w="100" w:type="dxa"/>
              <w:right w:w="100" w:type="dxa"/>
            </w:tcMar>
          </w:tcPr>
          <w:p w14:paraId="3693EFF4" w14:textId="579983E0" w:rsidR="0051100D" w:rsidRPr="007D5A15" w:rsidRDefault="007D5A15" w:rsidP="007D5A15">
            <w:pPr>
              <w:pStyle w:val="ListParagraph"/>
              <w:widowControl w:val="0"/>
              <w:numPr>
                <w:ilvl w:val="0"/>
                <w:numId w:val="6"/>
              </w:numPr>
              <w:pBdr>
                <w:top w:val="nil"/>
                <w:left w:val="nil"/>
                <w:bottom w:val="nil"/>
                <w:right w:val="nil"/>
                <w:between w:val="nil"/>
              </w:pBdr>
              <w:spacing w:after="0" w:line="240" w:lineRule="auto"/>
              <w:rPr>
                <w:bCs/>
              </w:rPr>
            </w:pPr>
            <w:r w:rsidRPr="007D5A15">
              <w:rPr>
                <w:bCs/>
              </w:rPr>
              <w:t>Students view a teacher-guided slide deck with a map of the Aztec Empire, an image of Tenochtitlan, and brief excerpts about Spanish arrival, alliances with Indigenous enemies of the Aztecs, and the spread of disease. The teacher models how to identify evidence and think critically about bias, perspective, and cause/effect.</w:t>
            </w:r>
          </w:p>
        </w:tc>
      </w:tr>
      <w:tr w:rsidR="0051100D" w14:paraId="33C15122" w14:textId="77777777">
        <w:trPr>
          <w:jc w:val="center"/>
        </w:trPr>
        <w:tc>
          <w:tcPr>
            <w:tcW w:w="2715" w:type="dxa"/>
            <w:shd w:val="clear" w:color="auto" w:fill="EFEFEF"/>
            <w:tcMar>
              <w:top w:w="100" w:type="dxa"/>
              <w:left w:w="100" w:type="dxa"/>
              <w:bottom w:w="100" w:type="dxa"/>
              <w:right w:w="100" w:type="dxa"/>
            </w:tcMar>
          </w:tcPr>
          <w:p w14:paraId="30A294CF" w14:textId="7E17007E" w:rsidR="0051100D" w:rsidRDefault="00000000">
            <w:pPr>
              <w:widowControl w:val="0"/>
              <w:pBdr>
                <w:top w:val="nil"/>
                <w:left w:val="nil"/>
                <w:bottom w:val="nil"/>
                <w:right w:val="nil"/>
                <w:between w:val="nil"/>
              </w:pBdr>
              <w:spacing w:after="0" w:line="240" w:lineRule="auto"/>
              <w:rPr>
                <w:b/>
              </w:rPr>
            </w:pPr>
            <w:sdt>
              <w:sdtPr>
                <w:alias w:val="Configuration 1"/>
                <w:id w:val="752156211"/>
                <w:dropDownList>
                  <w:listItem w:displayText="Select" w:value="Select"/>
                  <w:listItem w:displayText="Introduction" w:value="Introduction"/>
                  <w:listItem w:displayText="Direct Instruction" w:value="Direct Instruction"/>
                  <w:listItem w:displayText="Class/Group Activity" w:value="Class/Group Activity"/>
                  <w:listItem w:displayText="Technology Integration" w:value="Technology Integration"/>
                  <w:listItem w:displayText="Class Discussion" w:value="Class Discussion"/>
                  <w:listItem w:displayText="Assessment" w:value="Assessment"/>
                </w:dropDownList>
              </w:sdtPr>
              <w:sdtContent>
                <w:r w:rsidR="007D5A15">
                  <w:t>Class/Group Activity</w:t>
                </w:r>
              </w:sdtContent>
            </w:sdt>
          </w:p>
        </w:tc>
        <w:tc>
          <w:tcPr>
            <w:tcW w:w="1755" w:type="dxa"/>
            <w:shd w:val="clear" w:color="auto" w:fill="EFEFEF"/>
            <w:tcMar>
              <w:top w:w="100" w:type="dxa"/>
              <w:left w:w="100" w:type="dxa"/>
              <w:bottom w:w="100" w:type="dxa"/>
              <w:right w:w="100" w:type="dxa"/>
            </w:tcMar>
          </w:tcPr>
          <w:p w14:paraId="6833A62F" w14:textId="079771CD" w:rsidR="0051100D" w:rsidRDefault="007D5A15">
            <w:pPr>
              <w:widowControl w:val="0"/>
              <w:pBdr>
                <w:top w:val="nil"/>
                <w:left w:val="nil"/>
                <w:bottom w:val="nil"/>
                <w:right w:val="nil"/>
                <w:between w:val="nil"/>
              </w:pBdr>
              <w:spacing w:after="0" w:line="240" w:lineRule="auto"/>
              <w:rPr>
                <w:b/>
              </w:rPr>
            </w:pPr>
            <w:r>
              <w:rPr>
                <w:b/>
              </w:rPr>
              <w:t>15 min.</w:t>
            </w:r>
          </w:p>
        </w:tc>
        <w:tc>
          <w:tcPr>
            <w:tcW w:w="6330" w:type="dxa"/>
            <w:shd w:val="clear" w:color="auto" w:fill="EFEFEF"/>
            <w:tcMar>
              <w:top w:w="100" w:type="dxa"/>
              <w:left w:w="100" w:type="dxa"/>
              <w:bottom w:w="100" w:type="dxa"/>
              <w:right w:w="100" w:type="dxa"/>
            </w:tcMar>
          </w:tcPr>
          <w:p w14:paraId="207B42E0" w14:textId="7D17472C" w:rsidR="0051100D" w:rsidRPr="007D5A15" w:rsidRDefault="007D5A15" w:rsidP="007D5A15">
            <w:pPr>
              <w:pStyle w:val="ListParagraph"/>
              <w:widowControl w:val="0"/>
              <w:numPr>
                <w:ilvl w:val="0"/>
                <w:numId w:val="6"/>
              </w:numPr>
              <w:pBdr>
                <w:top w:val="nil"/>
                <w:left w:val="nil"/>
                <w:bottom w:val="nil"/>
                <w:right w:val="nil"/>
                <w:between w:val="nil"/>
              </w:pBdr>
              <w:spacing w:after="0" w:line="240" w:lineRule="auto"/>
              <w:rPr>
                <w:bCs/>
              </w:rPr>
            </w:pPr>
            <w:r w:rsidRPr="007D5A15">
              <w:rPr>
                <w:bCs/>
              </w:rPr>
              <w:t>In pairs, students use a digital graphic organizer in Google Docs to sort evidence into categories: military technology, disease, alliances, leadership, and geography. Pairs discuss which factor mattered most and prepare one claim supported with at least two pieces of evidence.</w:t>
            </w:r>
          </w:p>
        </w:tc>
      </w:tr>
      <w:tr w:rsidR="0051100D" w14:paraId="2AEF9AB6" w14:textId="77777777">
        <w:trPr>
          <w:jc w:val="center"/>
        </w:trPr>
        <w:tc>
          <w:tcPr>
            <w:tcW w:w="2715" w:type="dxa"/>
            <w:shd w:val="clear" w:color="auto" w:fill="EFEFEF"/>
            <w:tcMar>
              <w:top w:w="100" w:type="dxa"/>
              <w:left w:w="100" w:type="dxa"/>
              <w:bottom w:w="100" w:type="dxa"/>
              <w:right w:w="100" w:type="dxa"/>
            </w:tcMar>
          </w:tcPr>
          <w:p w14:paraId="1A526350" w14:textId="30FBE7E6" w:rsidR="0051100D" w:rsidRPr="007D5A15" w:rsidRDefault="007D5A15">
            <w:pPr>
              <w:widowControl w:val="0"/>
              <w:pBdr>
                <w:top w:val="nil"/>
                <w:left w:val="nil"/>
                <w:bottom w:val="nil"/>
                <w:right w:val="nil"/>
                <w:between w:val="nil"/>
              </w:pBdr>
              <w:spacing w:after="0" w:line="240" w:lineRule="auto"/>
              <w:rPr>
                <w:bCs/>
              </w:rPr>
            </w:pPr>
            <w:r w:rsidRPr="007D5A15">
              <w:rPr>
                <w:bCs/>
              </w:rPr>
              <w:t>Closure / Assessment</w:t>
            </w:r>
          </w:p>
        </w:tc>
        <w:tc>
          <w:tcPr>
            <w:tcW w:w="1755" w:type="dxa"/>
            <w:shd w:val="clear" w:color="auto" w:fill="EFEFEF"/>
            <w:tcMar>
              <w:top w:w="100" w:type="dxa"/>
              <w:left w:w="100" w:type="dxa"/>
              <w:bottom w:w="100" w:type="dxa"/>
              <w:right w:w="100" w:type="dxa"/>
            </w:tcMar>
          </w:tcPr>
          <w:p w14:paraId="65B8C55C" w14:textId="5CE54354" w:rsidR="0051100D" w:rsidRDefault="007D5A15">
            <w:pPr>
              <w:widowControl w:val="0"/>
              <w:pBdr>
                <w:top w:val="nil"/>
                <w:left w:val="nil"/>
                <w:bottom w:val="nil"/>
                <w:right w:val="nil"/>
                <w:between w:val="nil"/>
              </w:pBdr>
              <w:spacing w:after="0" w:line="240" w:lineRule="auto"/>
              <w:rPr>
                <w:b/>
              </w:rPr>
            </w:pPr>
            <w:r>
              <w:rPr>
                <w:b/>
              </w:rPr>
              <w:t>10 min.</w:t>
            </w:r>
          </w:p>
        </w:tc>
        <w:tc>
          <w:tcPr>
            <w:tcW w:w="6330" w:type="dxa"/>
            <w:shd w:val="clear" w:color="auto" w:fill="EFEFEF"/>
            <w:tcMar>
              <w:top w:w="100" w:type="dxa"/>
              <w:left w:w="100" w:type="dxa"/>
              <w:bottom w:w="100" w:type="dxa"/>
              <w:right w:w="100" w:type="dxa"/>
            </w:tcMar>
          </w:tcPr>
          <w:p w14:paraId="7C783754" w14:textId="5CBAA884" w:rsidR="0051100D" w:rsidRPr="007D5A15" w:rsidRDefault="007D5A15" w:rsidP="007D5A15">
            <w:pPr>
              <w:pStyle w:val="ListParagraph"/>
              <w:widowControl w:val="0"/>
              <w:numPr>
                <w:ilvl w:val="0"/>
                <w:numId w:val="6"/>
              </w:numPr>
              <w:pBdr>
                <w:top w:val="nil"/>
                <w:left w:val="nil"/>
                <w:bottom w:val="nil"/>
                <w:right w:val="nil"/>
                <w:between w:val="nil"/>
              </w:pBdr>
              <w:spacing w:after="0" w:line="240" w:lineRule="auto"/>
              <w:rPr>
                <w:bCs/>
              </w:rPr>
            </w:pPr>
            <w:r w:rsidRPr="007D5A15">
              <w:rPr>
                <w:bCs/>
              </w:rPr>
              <w:t>Students submit an individual exit response in Google Classroom answering: “What was the most important reason for the downfall of the Aztecs, and why?” Students must use evidence from the lesson. The teacher reviews responses for historical understanding and critical thinking.</w:t>
            </w:r>
          </w:p>
        </w:tc>
      </w:tr>
    </w:tbl>
    <w:p w14:paraId="3156D6FA" w14:textId="77777777" w:rsidR="0051100D" w:rsidRDefault="0051100D">
      <w:pPr>
        <w:spacing w:after="0" w:line="240" w:lineRule="auto"/>
        <w:jc w:val="center"/>
        <w:rPr>
          <w:b/>
        </w:rPr>
      </w:pPr>
    </w:p>
    <w:p w14:paraId="32E683D4" w14:textId="77777777" w:rsidR="00C813B3" w:rsidRDefault="00C813B3" w:rsidP="00C813B3">
      <w:pPr>
        <w:spacing w:after="0" w:line="480" w:lineRule="auto"/>
        <w:rPr>
          <w:sz w:val="24"/>
          <w:szCs w:val="24"/>
        </w:rPr>
      </w:pPr>
    </w:p>
    <w:p w14:paraId="7D683A45" w14:textId="77777777" w:rsidR="00C813B3" w:rsidRDefault="00C813B3" w:rsidP="00C813B3">
      <w:pPr>
        <w:spacing w:after="0" w:line="480" w:lineRule="auto"/>
        <w:rPr>
          <w:sz w:val="24"/>
          <w:szCs w:val="24"/>
        </w:rPr>
      </w:pPr>
    </w:p>
    <w:p w14:paraId="1782807E" w14:textId="77777777" w:rsidR="00C813B3" w:rsidRDefault="00C813B3" w:rsidP="00C813B3">
      <w:pPr>
        <w:spacing w:after="0" w:line="480" w:lineRule="auto"/>
        <w:rPr>
          <w:sz w:val="24"/>
          <w:szCs w:val="24"/>
        </w:rPr>
      </w:pPr>
    </w:p>
    <w:p w14:paraId="76E2C48B" w14:textId="77777777" w:rsidR="00C813B3" w:rsidRDefault="00C813B3" w:rsidP="00C813B3">
      <w:pPr>
        <w:spacing w:after="0" w:line="480" w:lineRule="auto"/>
        <w:rPr>
          <w:sz w:val="24"/>
          <w:szCs w:val="24"/>
        </w:rPr>
      </w:pPr>
    </w:p>
    <w:p w14:paraId="7A563072" w14:textId="77777777" w:rsidR="00C813B3" w:rsidRDefault="00C813B3" w:rsidP="00C813B3">
      <w:pPr>
        <w:spacing w:after="0" w:line="480" w:lineRule="auto"/>
        <w:rPr>
          <w:sz w:val="24"/>
          <w:szCs w:val="24"/>
        </w:rPr>
      </w:pPr>
    </w:p>
    <w:p w14:paraId="6BE70929" w14:textId="77777777" w:rsidR="00C813B3" w:rsidRDefault="00C813B3" w:rsidP="00C813B3">
      <w:pPr>
        <w:spacing w:after="0" w:line="480" w:lineRule="auto"/>
        <w:rPr>
          <w:sz w:val="24"/>
          <w:szCs w:val="24"/>
        </w:rPr>
      </w:pPr>
    </w:p>
    <w:p w14:paraId="45ED9C87" w14:textId="77777777" w:rsidR="00C813B3" w:rsidRDefault="00C813B3" w:rsidP="00C813B3">
      <w:pPr>
        <w:spacing w:after="0" w:line="480" w:lineRule="auto"/>
        <w:rPr>
          <w:sz w:val="24"/>
          <w:szCs w:val="24"/>
        </w:rPr>
      </w:pPr>
    </w:p>
    <w:p w14:paraId="1517A499" w14:textId="77777777" w:rsidR="00C813B3" w:rsidRDefault="00C813B3" w:rsidP="00C813B3">
      <w:pPr>
        <w:spacing w:after="0" w:line="480" w:lineRule="auto"/>
        <w:rPr>
          <w:sz w:val="24"/>
          <w:szCs w:val="24"/>
        </w:rPr>
      </w:pPr>
    </w:p>
    <w:p w14:paraId="222B1F5F" w14:textId="77777777" w:rsidR="00C813B3" w:rsidRDefault="00C813B3" w:rsidP="00C813B3">
      <w:pPr>
        <w:spacing w:after="0" w:line="480" w:lineRule="auto"/>
        <w:rPr>
          <w:sz w:val="24"/>
          <w:szCs w:val="24"/>
        </w:rPr>
      </w:pPr>
    </w:p>
    <w:p w14:paraId="6826DC7A" w14:textId="380C9170" w:rsidR="00C813B3" w:rsidRPr="00C813B3" w:rsidRDefault="00C813B3" w:rsidP="00C813B3">
      <w:pPr>
        <w:spacing w:after="0" w:line="480" w:lineRule="auto"/>
        <w:jc w:val="center"/>
        <w:rPr>
          <w:b/>
          <w:bCs/>
          <w:sz w:val="24"/>
          <w:szCs w:val="24"/>
        </w:rPr>
      </w:pPr>
      <w:r w:rsidRPr="00C813B3">
        <w:rPr>
          <w:b/>
          <w:bCs/>
          <w:sz w:val="24"/>
          <w:szCs w:val="24"/>
        </w:rPr>
        <w:lastRenderedPageBreak/>
        <w:t>Summary and References:</w:t>
      </w:r>
    </w:p>
    <w:p w14:paraId="5BAADCDE" w14:textId="79E4707A" w:rsidR="00C813B3" w:rsidRPr="00C813B3" w:rsidRDefault="00C813B3" w:rsidP="00C813B3">
      <w:pPr>
        <w:spacing w:after="0" w:line="480" w:lineRule="auto"/>
        <w:rPr>
          <w:sz w:val="24"/>
          <w:szCs w:val="24"/>
        </w:rPr>
      </w:pPr>
      <w:r w:rsidRPr="00C813B3">
        <w:rPr>
          <w:sz w:val="24"/>
          <w:szCs w:val="24"/>
        </w:rPr>
        <w:t>I designed t</w:t>
      </w:r>
      <w:r w:rsidRPr="00C813B3">
        <w:rPr>
          <w:sz w:val="24"/>
          <w:szCs w:val="24"/>
        </w:rPr>
        <w:t xml:space="preserve">his lesson for </w:t>
      </w:r>
      <w:r w:rsidR="00B7556E">
        <w:rPr>
          <w:sz w:val="24"/>
          <w:szCs w:val="24"/>
        </w:rPr>
        <w:t xml:space="preserve">my </w:t>
      </w:r>
      <w:r w:rsidRPr="00C813B3">
        <w:rPr>
          <w:sz w:val="24"/>
          <w:szCs w:val="24"/>
        </w:rPr>
        <w:t>6th grade Colorado social studies class</w:t>
      </w:r>
      <w:r w:rsidR="00B7556E">
        <w:rPr>
          <w:sz w:val="24"/>
          <w:szCs w:val="24"/>
        </w:rPr>
        <w:t xml:space="preserve"> </w:t>
      </w:r>
      <w:r w:rsidRPr="00C813B3">
        <w:rPr>
          <w:sz w:val="24"/>
          <w:szCs w:val="24"/>
        </w:rPr>
        <w:t xml:space="preserve">and </w:t>
      </w:r>
      <w:r w:rsidR="00B7556E">
        <w:rPr>
          <w:sz w:val="24"/>
          <w:szCs w:val="24"/>
        </w:rPr>
        <w:t xml:space="preserve">it </w:t>
      </w:r>
      <w:r w:rsidRPr="00C813B3">
        <w:rPr>
          <w:sz w:val="24"/>
          <w:szCs w:val="24"/>
        </w:rPr>
        <w:t>focuses on the arrival of the Spanish in Central America and the downfall of the Aztec Empire. The lesson aligns with Colorado’s History standard by asking students to investigate the past through inquiry, analyze cause and effect, and interpret multiple sources to build a historical explanation. The Colorado Academic Standards</w:t>
      </w:r>
      <w:r w:rsidR="00B7556E">
        <w:rPr>
          <w:sz w:val="24"/>
          <w:szCs w:val="24"/>
        </w:rPr>
        <w:t xml:space="preserve"> </w:t>
      </w:r>
      <w:r w:rsidR="00B7556E" w:rsidRPr="00B7556E">
        <w:rPr>
          <w:sz w:val="24"/>
          <w:szCs w:val="24"/>
        </w:rPr>
        <w:t>(Colorado Department of Education, 2022)</w:t>
      </w:r>
      <w:r w:rsidRPr="00C813B3">
        <w:rPr>
          <w:sz w:val="24"/>
          <w:szCs w:val="24"/>
        </w:rPr>
        <w:t xml:space="preserve"> describe history as a discipline that helps students explain the human experience through past events while developing skills in analysis, interpretation, evaluation, and communication. Rather than memorizing a sequence of events, students must evaluate why the Aztec Empire fell and determine which factors were most significant. That approach keeps the lesson closely tied to critical thinking, which is central to both the social studies standards and the goals of this assignment.</w:t>
      </w:r>
    </w:p>
    <w:p w14:paraId="44E8192C" w14:textId="6DF996C0" w:rsidR="00C813B3" w:rsidRPr="00C813B3" w:rsidRDefault="00C813B3" w:rsidP="00C813B3">
      <w:pPr>
        <w:spacing w:after="0" w:line="480" w:lineRule="auto"/>
        <w:rPr>
          <w:sz w:val="24"/>
          <w:szCs w:val="24"/>
        </w:rPr>
      </w:pPr>
      <w:r w:rsidRPr="00C813B3">
        <w:rPr>
          <w:sz w:val="24"/>
          <w:szCs w:val="24"/>
        </w:rPr>
        <w:t xml:space="preserve">Technology is integrated as a tool for analysis rather than simple content delivery. </w:t>
      </w:r>
      <w:r w:rsidR="0086117F">
        <w:rPr>
          <w:sz w:val="24"/>
          <w:szCs w:val="24"/>
        </w:rPr>
        <w:t xml:space="preserve">My </w:t>
      </w:r>
      <w:r w:rsidRPr="00C813B3">
        <w:rPr>
          <w:sz w:val="24"/>
          <w:szCs w:val="24"/>
        </w:rPr>
        <w:t>slide deck, digital source set, and shared graphic organizer help students compare evidence, discuss ideas, and organize their thinking in real time. This use of technology reflects the idea that critical thinking develops when students engage actively with information, weigh evidence, and construct reasoned responses instead of passively receiving facts (Vejar, 2023). In a 40-minute middle school lesson, these digital supports also improve access because students can revisit visuals, excerpts, and notes during the activity.</w:t>
      </w:r>
    </w:p>
    <w:p w14:paraId="171A95BD" w14:textId="77777777" w:rsidR="00C813B3" w:rsidRPr="00C813B3" w:rsidRDefault="00C813B3" w:rsidP="00C813B3">
      <w:pPr>
        <w:spacing w:after="0" w:line="480" w:lineRule="auto"/>
        <w:rPr>
          <w:sz w:val="24"/>
          <w:szCs w:val="24"/>
        </w:rPr>
      </w:pPr>
      <w:r w:rsidRPr="00C813B3">
        <w:rPr>
          <w:sz w:val="24"/>
          <w:szCs w:val="24"/>
        </w:rPr>
        <w:t>The lesson is intentionally structured to close the critical thinking gap by giving all students access to meaningful historical reasoning tasks. Laskowski (2023) explains that critical thinking should not be reserved only for advanced students, but should be embedded into everyday learning opportunities for all learners. In this lesson, every student is asked to examine evidence, discuss competing ideas, and defend a claim. Supports such as sentence stems, vocabulary assistance, and collaborative discussion are included so that students can engage in rigorous thinking even when the content is challenging.</w:t>
      </w:r>
    </w:p>
    <w:p w14:paraId="71EF2496" w14:textId="77777777" w:rsidR="00C813B3" w:rsidRDefault="00C813B3" w:rsidP="00C813B3">
      <w:pPr>
        <w:spacing w:after="0" w:line="480" w:lineRule="auto"/>
        <w:rPr>
          <w:sz w:val="24"/>
          <w:szCs w:val="24"/>
        </w:rPr>
      </w:pPr>
      <w:r w:rsidRPr="00C813B3">
        <w:rPr>
          <w:sz w:val="24"/>
          <w:szCs w:val="24"/>
        </w:rPr>
        <w:t xml:space="preserve">The lesson also reflects real-world thinking processes described by Silver et al. (2022), particularly analysis, reasoning, and communication. Students must sort information, identify patterns across different causes, and communicate a conclusion supported by evidence. These are transferable skills that extend beyond history </w:t>
      </w:r>
      <w:r w:rsidRPr="00C813B3">
        <w:rPr>
          <w:sz w:val="24"/>
          <w:szCs w:val="24"/>
        </w:rPr>
        <w:lastRenderedPageBreak/>
        <w:t>class because they prepare students to evaluate information critically in academic, civic, and digital spaces. Overall, the lesson plan uses technology purposefully to strengthen historical inquiry, deepen engagement, and make critical thinking visible within a short 40-minute lesson.</w:t>
      </w:r>
    </w:p>
    <w:p w14:paraId="53387CBD" w14:textId="77777777" w:rsidR="00C813B3" w:rsidRPr="00C813B3" w:rsidRDefault="00C813B3" w:rsidP="00C813B3">
      <w:pPr>
        <w:spacing w:after="0" w:line="480" w:lineRule="auto"/>
        <w:rPr>
          <w:sz w:val="24"/>
          <w:szCs w:val="24"/>
        </w:rPr>
      </w:pPr>
    </w:p>
    <w:p w14:paraId="7E5B7FC8" w14:textId="77777777" w:rsidR="00C813B3" w:rsidRPr="00C813B3" w:rsidRDefault="00C813B3" w:rsidP="00C813B3">
      <w:pPr>
        <w:spacing w:after="0" w:line="480" w:lineRule="auto"/>
        <w:rPr>
          <w:b/>
          <w:bCs/>
          <w:sz w:val="24"/>
          <w:szCs w:val="24"/>
        </w:rPr>
      </w:pPr>
      <w:r w:rsidRPr="00C813B3">
        <w:rPr>
          <w:b/>
          <w:bCs/>
          <w:sz w:val="24"/>
          <w:szCs w:val="24"/>
        </w:rPr>
        <w:t>References</w:t>
      </w:r>
    </w:p>
    <w:p w14:paraId="17420E13" w14:textId="77777777" w:rsidR="00C813B3" w:rsidRPr="00C813B3" w:rsidRDefault="00C813B3" w:rsidP="00C813B3">
      <w:pPr>
        <w:spacing w:after="0" w:line="480" w:lineRule="auto"/>
        <w:rPr>
          <w:sz w:val="24"/>
          <w:szCs w:val="24"/>
        </w:rPr>
      </w:pPr>
      <w:r w:rsidRPr="00C813B3">
        <w:rPr>
          <w:sz w:val="24"/>
          <w:szCs w:val="24"/>
        </w:rPr>
        <w:t>Colorado Department of Education. (2022). </w:t>
      </w:r>
      <w:r w:rsidRPr="00C813B3">
        <w:rPr>
          <w:i/>
          <w:iCs/>
          <w:sz w:val="24"/>
          <w:szCs w:val="24"/>
        </w:rPr>
        <w:t>Social studies - Colorado academic standards</w:t>
      </w:r>
      <w:r w:rsidRPr="00C813B3">
        <w:rPr>
          <w:sz w:val="24"/>
          <w:szCs w:val="24"/>
        </w:rPr>
        <w:t>. https://www.cde.state.co.us/cosocialstudies/cas-ss-standards-p12-2022</w:t>
      </w:r>
    </w:p>
    <w:p w14:paraId="5C22B077" w14:textId="77777777" w:rsidR="00C813B3" w:rsidRPr="00C813B3" w:rsidRDefault="00C813B3" w:rsidP="00C813B3">
      <w:pPr>
        <w:spacing w:after="0" w:line="480" w:lineRule="auto"/>
        <w:rPr>
          <w:sz w:val="24"/>
          <w:szCs w:val="24"/>
        </w:rPr>
      </w:pPr>
      <w:r w:rsidRPr="00C813B3">
        <w:rPr>
          <w:sz w:val="24"/>
          <w:szCs w:val="24"/>
        </w:rPr>
        <w:t>Laskowski, T. (2023). Colin Seale on closing the critical thinking gap. </w:t>
      </w:r>
      <w:r w:rsidRPr="00C813B3">
        <w:rPr>
          <w:i/>
          <w:iCs/>
          <w:sz w:val="24"/>
          <w:szCs w:val="24"/>
        </w:rPr>
        <w:t>Educational Leadership, 80</w:t>
      </w:r>
      <w:r w:rsidRPr="00C813B3">
        <w:rPr>
          <w:sz w:val="24"/>
          <w:szCs w:val="24"/>
        </w:rPr>
        <w:t>(7), 14–19.</w:t>
      </w:r>
    </w:p>
    <w:p w14:paraId="39D89C99" w14:textId="77777777" w:rsidR="00C813B3" w:rsidRPr="00C813B3" w:rsidRDefault="00C813B3" w:rsidP="00C813B3">
      <w:pPr>
        <w:spacing w:after="0" w:line="480" w:lineRule="auto"/>
        <w:rPr>
          <w:sz w:val="24"/>
          <w:szCs w:val="24"/>
        </w:rPr>
      </w:pPr>
      <w:r w:rsidRPr="00C813B3">
        <w:rPr>
          <w:sz w:val="24"/>
          <w:szCs w:val="24"/>
        </w:rPr>
        <w:t>Silver, H. F., Boutz, A. L., &amp; McTighe, J. (2022). 5 ideas for developing real-world thinking skills: Infusing five processes into assignments can help students hone the skills they’ll need to address complex problems. </w:t>
      </w:r>
      <w:r w:rsidRPr="00C813B3">
        <w:rPr>
          <w:i/>
          <w:iCs/>
          <w:sz w:val="24"/>
          <w:szCs w:val="24"/>
        </w:rPr>
        <w:t>Educational Leadership, 79</w:t>
      </w:r>
      <w:r w:rsidRPr="00C813B3">
        <w:rPr>
          <w:sz w:val="24"/>
          <w:szCs w:val="24"/>
        </w:rPr>
        <w:t>(8), 38–42.</w:t>
      </w:r>
    </w:p>
    <w:p w14:paraId="45FC6B7B" w14:textId="77777777" w:rsidR="00C813B3" w:rsidRPr="00C813B3" w:rsidRDefault="00C813B3" w:rsidP="00C813B3">
      <w:pPr>
        <w:spacing w:after="0" w:line="480" w:lineRule="auto"/>
        <w:rPr>
          <w:sz w:val="24"/>
          <w:szCs w:val="24"/>
        </w:rPr>
      </w:pPr>
      <w:r w:rsidRPr="00C813B3">
        <w:rPr>
          <w:sz w:val="24"/>
          <w:szCs w:val="24"/>
        </w:rPr>
        <w:t>Vejar, C. (2023). Critical thinking: An academic perspective. In </w:t>
      </w:r>
      <w:r w:rsidRPr="00C813B3">
        <w:rPr>
          <w:i/>
          <w:iCs/>
          <w:sz w:val="24"/>
          <w:szCs w:val="24"/>
        </w:rPr>
        <w:t>Salem Press Encyclopedia</w:t>
      </w:r>
      <w:r w:rsidRPr="00C813B3">
        <w:rPr>
          <w:sz w:val="24"/>
          <w:szCs w:val="24"/>
        </w:rPr>
        <w:t>.</w:t>
      </w:r>
    </w:p>
    <w:p w14:paraId="45CD54C9" w14:textId="77777777" w:rsidR="00C813B3" w:rsidRPr="00C813B3" w:rsidRDefault="00C813B3">
      <w:pPr>
        <w:spacing w:after="0" w:line="240" w:lineRule="auto"/>
        <w:rPr>
          <w:sz w:val="24"/>
          <w:szCs w:val="24"/>
        </w:rPr>
      </w:pPr>
    </w:p>
    <w:sectPr w:rsidR="00C813B3" w:rsidRPr="00C813B3">
      <w:headerReference w:type="first" r:id="rId8"/>
      <w:footerReference w:type="first" r:id="rId9"/>
      <w:pgSz w:w="12240" w:h="15840"/>
      <w:pgMar w:top="720" w:right="720" w:bottom="720" w:left="720" w:header="72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011787" w14:textId="77777777" w:rsidR="00B47880" w:rsidRDefault="00B47880">
      <w:pPr>
        <w:spacing w:after="0" w:line="240" w:lineRule="auto"/>
      </w:pPr>
      <w:r>
        <w:separator/>
      </w:r>
    </w:p>
  </w:endnote>
  <w:endnote w:type="continuationSeparator" w:id="0">
    <w:p w14:paraId="5EE18FB4" w14:textId="77777777" w:rsidR="00B47880" w:rsidRDefault="00B4788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EE69A5" w14:textId="77777777" w:rsidR="0051100D" w:rsidRDefault="0051100D"/>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C4918F" w14:textId="77777777" w:rsidR="00B47880" w:rsidRDefault="00B47880">
      <w:pPr>
        <w:spacing w:after="0" w:line="240" w:lineRule="auto"/>
      </w:pPr>
      <w:r>
        <w:separator/>
      </w:r>
    </w:p>
  </w:footnote>
  <w:footnote w:type="continuationSeparator" w:id="0">
    <w:p w14:paraId="5B38E155" w14:textId="77777777" w:rsidR="00B47880" w:rsidRDefault="00B4788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DD531F" w14:textId="77777777" w:rsidR="0051100D" w:rsidRDefault="00000000">
    <w:pPr>
      <w:tabs>
        <w:tab w:val="center" w:pos="4680"/>
        <w:tab w:val="right" w:pos="9360"/>
      </w:tabs>
      <w:spacing w:after="0" w:line="240" w:lineRule="auto"/>
      <w:jc w:val="center"/>
    </w:pPr>
    <w:r>
      <w:rPr>
        <w:noProof/>
      </w:rPr>
      <w:drawing>
        <wp:inline distT="0" distB="0" distL="0" distR="0" wp14:anchorId="5CDCEE15" wp14:editId="22A68D39">
          <wp:extent cx="2887879" cy="849250"/>
          <wp:effectExtent l="0" t="0" r="0" b="0"/>
          <wp:docPr id="6"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2887879" cy="849250"/>
                  </a:xfrm>
                  <a:prstGeom prst="rect">
                    <a:avLst/>
                  </a:prstGeom>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EC764E"/>
    <w:multiLevelType w:val="multilevel"/>
    <w:tmpl w:val="ACC6964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25945481"/>
    <w:multiLevelType w:val="multilevel"/>
    <w:tmpl w:val="51B60E1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3AC56687"/>
    <w:multiLevelType w:val="multilevel"/>
    <w:tmpl w:val="106C477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3CA8326E"/>
    <w:multiLevelType w:val="multilevel"/>
    <w:tmpl w:val="AD76015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51516143"/>
    <w:multiLevelType w:val="hybridMultilevel"/>
    <w:tmpl w:val="F7C294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54E573D"/>
    <w:multiLevelType w:val="multilevel"/>
    <w:tmpl w:val="00FE742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200359052">
    <w:abstractNumId w:val="1"/>
  </w:num>
  <w:num w:numId="2" w16cid:durableId="1975140712">
    <w:abstractNumId w:val="5"/>
  </w:num>
  <w:num w:numId="3" w16cid:durableId="1197696413">
    <w:abstractNumId w:val="2"/>
  </w:num>
  <w:num w:numId="4" w16cid:durableId="922952109">
    <w:abstractNumId w:val="0"/>
  </w:num>
  <w:num w:numId="5" w16cid:durableId="1502699174">
    <w:abstractNumId w:val="3"/>
  </w:num>
  <w:num w:numId="6" w16cid:durableId="32532674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100D"/>
    <w:rsid w:val="00447A58"/>
    <w:rsid w:val="0051100D"/>
    <w:rsid w:val="006C55E4"/>
    <w:rsid w:val="00715EF9"/>
    <w:rsid w:val="00766CD2"/>
    <w:rsid w:val="007D5A15"/>
    <w:rsid w:val="0086117F"/>
    <w:rsid w:val="00B47880"/>
    <w:rsid w:val="00B7556E"/>
    <w:rsid w:val="00C813B3"/>
    <w:rsid w:val="00E511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78F97F6E"/>
  <w15:docId w15:val="{21AEDC4D-9914-8A47-9345-811D687A58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A5380"/>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character" w:styleId="Hyperlink">
    <w:name w:val="Hyperlink"/>
    <w:basedOn w:val="DefaultParagraphFont"/>
    <w:uiPriority w:val="99"/>
    <w:unhideWhenUsed/>
    <w:rsid w:val="000A5380"/>
    <w:rPr>
      <w:color w:val="0000FF"/>
      <w:u w:val="single"/>
    </w:rPr>
  </w:style>
  <w:style w:type="paragraph" w:styleId="ListParagraph">
    <w:name w:val="List Paragraph"/>
    <w:basedOn w:val="Normal"/>
    <w:link w:val="ListParagraphChar"/>
    <w:uiPriority w:val="34"/>
    <w:qFormat/>
    <w:rsid w:val="000A5380"/>
    <w:pPr>
      <w:ind w:left="720"/>
      <w:contextualSpacing/>
    </w:pPr>
  </w:style>
  <w:style w:type="character" w:customStyle="1" w:styleId="ListParagraphChar">
    <w:name w:val="List Paragraph Char"/>
    <w:basedOn w:val="DefaultParagraphFont"/>
    <w:link w:val="ListParagraph"/>
    <w:uiPriority w:val="34"/>
    <w:locked/>
    <w:rsid w:val="000A5380"/>
  </w:style>
  <w:style w:type="paragraph" w:customStyle="1" w:styleId="m-6585335191339322442gmail-msolistparagraph">
    <w:name w:val="m_-6585335191339322442gmail-msolistparagraph"/>
    <w:basedOn w:val="Normal"/>
    <w:rsid w:val="00E94D1A"/>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954791"/>
    <w:pPr>
      <w:tabs>
        <w:tab w:val="center" w:pos="4680"/>
        <w:tab w:val="right" w:pos="9360"/>
      </w:tabs>
      <w:spacing w:after="0" w:line="240" w:lineRule="auto"/>
    </w:pPr>
  </w:style>
  <w:style w:type="character" w:customStyle="1" w:styleId="HeaderChar">
    <w:name w:val="Header Char"/>
    <w:basedOn w:val="DefaultParagraphFont"/>
    <w:link w:val="Header"/>
    <w:uiPriority w:val="99"/>
    <w:rsid w:val="00954791"/>
  </w:style>
  <w:style w:type="paragraph" w:styleId="Footer">
    <w:name w:val="footer"/>
    <w:basedOn w:val="Normal"/>
    <w:link w:val="FooterChar"/>
    <w:uiPriority w:val="99"/>
    <w:unhideWhenUsed/>
    <w:rsid w:val="00954791"/>
    <w:pPr>
      <w:tabs>
        <w:tab w:val="center" w:pos="4680"/>
        <w:tab w:val="right" w:pos="9360"/>
      </w:tabs>
      <w:spacing w:after="0" w:line="240" w:lineRule="auto"/>
    </w:pPr>
  </w:style>
  <w:style w:type="character" w:customStyle="1" w:styleId="FooterChar">
    <w:name w:val="Footer Char"/>
    <w:basedOn w:val="DefaultParagraphFont"/>
    <w:link w:val="Footer"/>
    <w:uiPriority w:val="99"/>
    <w:rsid w:val="00954791"/>
  </w:style>
  <w:style w:type="character" w:styleId="CommentReference">
    <w:name w:val="annotation reference"/>
    <w:basedOn w:val="DefaultParagraphFont"/>
    <w:uiPriority w:val="99"/>
    <w:semiHidden/>
    <w:unhideWhenUsed/>
    <w:rsid w:val="007F09B0"/>
    <w:rPr>
      <w:sz w:val="16"/>
      <w:szCs w:val="16"/>
    </w:rPr>
  </w:style>
  <w:style w:type="paragraph" w:styleId="CommentText">
    <w:name w:val="annotation text"/>
    <w:basedOn w:val="Normal"/>
    <w:link w:val="CommentTextChar"/>
    <w:uiPriority w:val="99"/>
    <w:semiHidden/>
    <w:unhideWhenUsed/>
    <w:rsid w:val="007F09B0"/>
    <w:pPr>
      <w:spacing w:line="240" w:lineRule="auto"/>
    </w:pPr>
    <w:rPr>
      <w:sz w:val="20"/>
      <w:szCs w:val="20"/>
    </w:rPr>
  </w:style>
  <w:style w:type="character" w:customStyle="1" w:styleId="CommentTextChar">
    <w:name w:val="Comment Text Char"/>
    <w:basedOn w:val="DefaultParagraphFont"/>
    <w:link w:val="CommentText"/>
    <w:uiPriority w:val="99"/>
    <w:semiHidden/>
    <w:rsid w:val="007F09B0"/>
    <w:rPr>
      <w:sz w:val="20"/>
      <w:szCs w:val="20"/>
    </w:rPr>
  </w:style>
  <w:style w:type="paragraph" w:styleId="CommentSubject">
    <w:name w:val="annotation subject"/>
    <w:basedOn w:val="CommentText"/>
    <w:next w:val="CommentText"/>
    <w:link w:val="CommentSubjectChar"/>
    <w:uiPriority w:val="99"/>
    <w:semiHidden/>
    <w:unhideWhenUsed/>
    <w:rsid w:val="007F09B0"/>
    <w:rPr>
      <w:b/>
      <w:bCs/>
    </w:rPr>
  </w:style>
  <w:style w:type="character" w:customStyle="1" w:styleId="CommentSubjectChar">
    <w:name w:val="Comment Subject Char"/>
    <w:basedOn w:val="CommentTextChar"/>
    <w:link w:val="CommentSubject"/>
    <w:uiPriority w:val="99"/>
    <w:semiHidden/>
    <w:rsid w:val="007F09B0"/>
    <w:rPr>
      <w:b/>
      <w:bCs/>
      <w:sz w:val="20"/>
      <w:szCs w:val="20"/>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tblPr>
      <w:tblStyleRowBandSize w:val="1"/>
      <w:tblStyleColBandSize w:val="1"/>
      <w:tblCellMar>
        <w:left w:w="115" w:type="dxa"/>
        <w:right w:w="115" w:type="dxa"/>
      </w:tblCellMar>
    </w:tblPr>
  </w:style>
  <w:style w:type="table" w:customStyle="1" w:styleId="a2">
    <w:basedOn w:val="TableNormal"/>
    <w:tblPr>
      <w:tblStyleRowBandSize w:val="1"/>
      <w:tblStyleColBandSize w:val="1"/>
      <w:tblCellMar>
        <w:left w:w="115" w:type="dxa"/>
        <w:right w:w="115" w:type="dxa"/>
      </w:tblCellMar>
    </w:tblPr>
  </w:style>
  <w:style w:type="table" w:customStyle="1" w:styleId="a3">
    <w:basedOn w:val="TableNormal"/>
    <w:tblPr>
      <w:tblStyleRowBandSize w:val="1"/>
      <w:tblStyleColBandSize w:val="1"/>
      <w:tblCellMar>
        <w:top w:w="100" w:type="dxa"/>
        <w:left w:w="100" w:type="dxa"/>
        <w:bottom w:w="100" w:type="dxa"/>
        <w:right w:w="100" w:type="dxa"/>
      </w:tblCellMar>
    </w:tblPr>
  </w:style>
  <w:style w:type="table" w:customStyle="1" w:styleId="a4">
    <w:basedOn w:val="TableNormal"/>
    <w:tblPr>
      <w:tblStyleRowBandSize w:val="1"/>
      <w:tblStyleColBandSize w:val="1"/>
      <w:tblCellMar>
        <w:top w:w="100" w:type="dxa"/>
        <w:left w:w="100" w:type="dxa"/>
        <w:bottom w:w="100" w:type="dxa"/>
        <w:right w:w="100" w:type="dxa"/>
      </w:tblCellMar>
    </w:tblPr>
  </w:style>
  <w:style w:type="table" w:customStyle="1" w:styleId="a5">
    <w:basedOn w:val="TableNormal"/>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4FQWHyGnUWsIzfRCwB/8+3KAgfw==">CgMxLjA4AHIhMTRkZlpUZlIxWkI1eHZ6NWNoaGY5dTkyeUpEN191aF9t</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4</Pages>
  <Words>1069</Words>
  <Characters>6095</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Kate Reynolds</dc:creator>
  <cp:lastModifiedBy>william fonda</cp:lastModifiedBy>
  <cp:revision>6</cp:revision>
  <dcterms:created xsi:type="dcterms:W3CDTF">2026-05-24T16:52:00Z</dcterms:created>
  <dcterms:modified xsi:type="dcterms:W3CDTF">2026-05-24T17:10:00Z</dcterms:modified>
</cp:coreProperties>
</file>